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FD2" w:rsidRPr="000B0B96" w:rsidRDefault="00195FD2" w:rsidP="000B0B96">
      <w:pPr>
        <w:jc w:val="center"/>
        <w:rPr>
          <w:b/>
          <w:sz w:val="32"/>
          <w:szCs w:val="32"/>
        </w:rPr>
      </w:pPr>
      <w:r w:rsidRPr="00195FD2">
        <w:rPr>
          <w:b/>
          <w:sz w:val="32"/>
          <w:szCs w:val="32"/>
        </w:rPr>
        <w:t xml:space="preserve">Key Stage 2 </w:t>
      </w:r>
      <w:proofErr w:type="gramStart"/>
      <w:r w:rsidRPr="00195FD2">
        <w:rPr>
          <w:b/>
          <w:sz w:val="32"/>
          <w:szCs w:val="32"/>
        </w:rPr>
        <w:t>SA</w:t>
      </w:r>
      <w:r>
        <w:rPr>
          <w:b/>
          <w:sz w:val="32"/>
          <w:szCs w:val="32"/>
        </w:rPr>
        <w:t xml:space="preserve">Ts </w:t>
      </w:r>
      <w:r w:rsidRPr="00195FD2">
        <w:rPr>
          <w:b/>
          <w:sz w:val="32"/>
          <w:szCs w:val="32"/>
        </w:rPr>
        <w:t xml:space="preserve"> results</w:t>
      </w:r>
      <w:proofErr w:type="gramEnd"/>
      <w:r w:rsidRPr="00195FD2">
        <w:rPr>
          <w:b/>
          <w:sz w:val="32"/>
          <w:szCs w:val="32"/>
        </w:rPr>
        <w:t xml:space="preserve"> 2023 -2024</w:t>
      </w:r>
    </w:p>
    <w:p w:rsidR="00195FD2" w:rsidRDefault="00195FD2" w:rsidP="00195FD2">
      <w:pPr>
        <w:jc w:val="both"/>
        <w:rPr>
          <w:sz w:val="24"/>
          <w:szCs w:val="24"/>
        </w:rPr>
      </w:pPr>
      <w:r>
        <w:rPr>
          <w:sz w:val="24"/>
          <w:szCs w:val="24"/>
        </w:rPr>
        <w:t>These tables show the percentage of Year 6 children reaching the expected standard. There were 32 eligible children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7"/>
        <w:gridCol w:w="1148"/>
        <w:gridCol w:w="1229"/>
        <w:gridCol w:w="1200"/>
        <w:gridCol w:w="1200"/>
        <w:gridCol w:w="1200"/>
        <w:gridCol w:w="1200"/>
      </w:tblGrid>
      <w:tr w:rsidR="000B0B96" w:rsidTr="00FB317E">
        <w:trPr>
          <w:trHeight w:val="615"/>
        </w:trPr>
        <w:tc>
          <w:tcPr>
            <w:tcW w:w="1637" w:type="dxa"/>
          </w:tcPr>
          <w:p w:rsidR="000B0B96" w:rsidRPr="00195FD2" w:rsidRDefault="000B0B96" w:rsidP="000B0B96">
            <w:pPr>
              <w:rPr>
                <w:b/>
                <w:sz w:val="24"/>
                <w:szCs w:val="24"/>
              </w:rPr>
            </w:pPr>
          </w:p>
        </w:tc>
        <w:tc>
          <w:tcPr>
            <w:tcW w:w="3577" w:type="dxa"/>
            <w:gridSpan w:val="3"/>
            <w:shd w:val="clear" w:color="auto" w:fill="D9E2F3" w:themeFill="accent1" w:themeFillTint="33"/>
          </w:tcPr>
          <w:p w:rsidR="000B0B96" w:rsidRPr="00195FD2" w:rsidRDefault="000B0B96" w:rsidP="000B0B9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Stoke Mandeville </w:t>
            </w:r>
            <w:r w:rsidR="00FB317E">
              <w:rPr>
                <w:b/>
                <w:sz w:val="24"/>
                <w:szCs w:val="24"/>
              </w:rPr>
              <w:t xml:space="preserve">Combined School </w:t>
            </w:r>
            <w:r>
              <w:rPr>
                <w:b/>
                <w:sz w:val="24"/>
                <w:szCs w:val="24"/>
              </w:rPr>
              <w:t>Results</w:t>
            </w:r>
          </w:p>
        </w:tc>
        <w:tc>
          <w:tcPr>
            <w:tcW w:w="3600" w:type="dxa"/>
            <w:gridSpan w:val="3"/>
          </w:tcPr>
          <w:p w:rsidR="000B0B96" w:rsidRPr="00195FD2" w:rsidRDefault="000B0B96" w:rsidP="000B0B9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National results</w:t>
            </w:r>
          </w:p>
        </w:tc>
      </w:tr>
      <w:tr w:rsidR="000B0B96" w:rsidTr="00FB317E">
        <w:trPr>
          <w:trHeight w:val="615"/>
        </w:trPr>
        <w:tc>
          <w:tcPr>
            <w:tcW w:w="1637" w:type="dxa"/>
          </w:tcPr>
          <w:p w:rsidR="000B0B96" w:rsidRPr="00195FD2" w:rsidRDefault="000B0B96" w:rsidP="000B0B96">
            <w:pPr>
              <w:rPr>
                <w:b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D9E2F3" w:themeFill="accent1" w:themeFillTint="33"/>
          </w:tcPr>
          <w:p w:rsidR="000B0B96" w:rsidRPr="00195FD2" w:rsidRDefault="000B0B96" w:rsidP="000B0B96">
            <w:pPr>
              <w:rPr>
                <w:b/>
                <w:sz w:val="24"/>
                <w:szCs w:val="24"/>
              </w:rPr>
            </w:pPr>
            <w:r w:rsidRPr="00195FD2">
              <w:rPr>
                <w:b/>
                <w:sz w:val="24"/>
                <w:szCs w:val="24"/>
              </w:rPr>
              <w:t>Not met the standard</w:t>
            </w:r>
          </w:p>
        </w:tc>
        <w:tc>
          <w:tcPr>
            <w:tcW w:w="1229" w:type="dxa"/>
            <w:shd w:val="clear" w:color="auto" w:fill="D9E2F3" w:themeFill="accent1" w:themeFillTint="33"/>
          </w:tcPr>
          <w:p w:rsidR="000B0B96" w:rsidRPr="00195FD2" w:rsidRDefault="000B0B96" w:rsidP="000B0B96">
            <w:pPr>
              <w:rPr>
                <w:b/>
                <w:sz w:val="24"/>
                <w:szCs w:val="24"/>
              </w:rPr>
            </w:pPr>
            <w:r w:rsidRPr="00195FD2">
              <w:rPr>
                <w:b/>
                <w:sz w:val="24"/>
                <w:szCs w:val="24"/>
              </w:rPr>
              <w:t>Met the standard</w:t>
            </w:r>
          </w:p>
        </w:tc>
        <w:tc>
          <w:tcPr>
            <w:tcW w:w="1200" w:type="dxa"/>
            <w:shd w:val="clear" w:color="auto" w:fill="D9E2F3" w:themeFill="accent1" w:themeFillTint="33"/>
          </w:tcPr>
          <w:p w:rsidR="000B0B96" w:rsidRPr="00195FD2" w:rsidRDefault="000B0B96" w:rsidP="000B0B96">
            <w:pPr>
              <w:rPr>
                <w:b/>
                <w:sz w:val="24"/>
                <w:szCs w:val="24"/>
              </w:rPr>
            </w:pPr>
            <w:r w:rsidRPr="00195FD2">
              <w:rPr>
                <w:b/>
                <w:sz w:val="24"/>
                <w:szCs w:val="24"/>
              </w:rPr>
              <w:t>Working at Greater Depth</w:t>
            </w:r>
          </w:p>
        </w:tc>
        <w:tc>
          <w:tcPr>
            <w:tcW w:w="1200" w:type="dxa"/>
          </w:tcPr>
          <w:p w:rsidR="000B0B96" w:rsidRPr="00195FD2" w:rsidRDefault="000B0B96" w:rsidP="000B0B96">
            <w:pPr>
              <w:rPr>
                <w:b/>
                <w:sz w:val="24"/>
                <w:szCs w:val="24"/>
              </w:rPr>
            </w:pPr>
            <w:r w:rsidRPr="00195FD2">
              <w:rPr>
                <w:b/>
                <w:sz w:val="24"/>
                <w:szCs w:val="24"/>
              </w:rPr>
              <w:t>Not met the standard</w:t>
            </w:r>
          </w:p>
        </w:tc>
        <w:tc>
          <w:tcPr>
            <w:tcW w:w="1200" w:type="dxa"/>
          </w:tcPr>
          <w:p w:rsidR="000B0B96" w:rsidRPr="00195FD2" w:rsidRDefault="000B0B96" w:rsidP="000B0B96">
            <w:pPr>
              <w:rPr>
                <w:b/>
                <w:sz w:val="24"/>
                <w:szCs w:val="24"/>
              </w:rPr>
            </w:pPr>
            <w:r w:rsidRPr="00195FD2">
              <w:rPr>
                <w:b/>
                <w:sz w:val="24"/>
                <w:szCs w:val="24"/>
              </w:rPr>
              <w:t>Met the standard</w:t>
            </w:r>
          </w:p>
        </w:tc>
        <w:tc>
          <w:tcPr>
            <w:tcW w:w="1200" w:type="dxa"/>
          </w:tcPr>
          <w:p w:rsidR="000B0B96" w:rsidRPr="00195FD2" w:rsidRDefault="000B0B96" w:rsidP="000B0B96">
            <w:pPr>
              <w:rPr>
                <w:b/>
                <w:sz w:val="24"/>
                <w:szCs w:val="24"/>
              </w:rPr>
            </w:pPr>
            <w:r w:rsidRPr="00195FD2">
              <w:rPr>
                <w:b/>
                <w:sz w:val="24"/>
                <w:szCs w:val="24"/>
              </w:rPr>
              <w:t>Working at Greater Depth</w:t>
            </w:r>
          </w:p>
        </w:tc>
      </w:tr>
      <w:tr w:rsidR="00FB317E" w:rsidTr="00FB317E">
        <w:trPr>
          <w:trHeight w:val="603"/>
        </w:trPr>
        <w:tc>
          <w:tcPr>
            <w:tcW w:w="1637" w:type="dxa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Reading</w:t>
            </w:r>
          </w:p>
          <w:p w:rsidR="00FB317E" w:rsidRDefault="00FB317E" w:rsidP="00FB317E">
            <w:pPr>
              <w:rPr>
                <w:sz w:val="24"/>
                <w:szCs w:val="24"/>
              </w:rPr>
            </w:pPr>
          </w:p>
          <w:p w:rsidR="00FB317E" w:rsidRDefault="00FB317E" w:rsidP="00FB317E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D9E2F3" w:themeFill="accent1" w:themeFillTint="33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18.8</w:t>
            </w:r>
          </w:p>
        </w:tc>
        <w:tc>
          <w:tcPr>
            <w:tcW w:w="1229" w:type="dxa"/>
            <w:shd w:val="clear" w:color="auto" w:fill="D9E2F3" w:themeFill="accent1" w:themeFillTint="33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81.3</w:t>
            </w:r>
          </w:p>
        </w:tc>
        <w:tc>
          <w:tcPr>
            <w:tcW w:w="1200" w:type="dxa"/>
            <w:shd w:val="clear" w:color="auto" w:fill="D9E2F3" w:themeFill="accent1" w:themeFillTint="33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00" w:type="dxa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00" w:type="dxa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1200" w:type="dxa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</w:tr>
      <w:tr w:rsidR="00FB317E" w:rsidTr="00FB317E">
        <w:trPr>
          <w:trHeight w:val="615"/>
        </w:trPr>
        <w:tc>
          <w:tcPr>
            <w:tcW w:w="1637" w:type="dxa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Writing – (teacher assessment)</w:t>
            </w:r>
          </w:p>
        </w:tc>
        <w:tc>
          <w:tcPr>
            <w:tcW w:w="1148" w:type="dxa"/>
            <w:shd w:val="clear" w:color="auto" w:fill="D9E2F3" w:themeFill="accent1" w:themeFillTint="33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15.6</w:t>
            </w:r>
          </w:p>
        </w:tc>
        <w:tc>
          <w:tcPr>
            <w:tcW w:w="1229" w:type="dxa"/>
            <w:shd w:val="clear" w:color="auto" w:fill="D9E2F3" w:themeFill="accent1" w:themeFillTint="33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81.3</w:t>
            </w:r>
          </w:p>
        </w:tc>
        <w:tc>
          <w:tcPr>
            <w:tcW w:w="1200" w:type="dxa"/>
            <w:shd w:val="clear" w:color="auto" w:fill="D9E2F3" w:themeFill="accent1" w:themeFillTint="33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</w:t>
            </w:r>
          </w:p>
        </w:tc>
        <w:tc>
          <w:tcPr>
            <w:tcW w:w="1200" w:type="dxa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00" w:type="dxa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200" w:type="dxa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FB317E" w:rsidTr="00FB317E">
        <w:trPr>
          <w:trHeight w:val="615"/>
        </w:trPr>
        <w:tc>
          <w:tcPr>
            <w:tcW w:w="1637" w:type="dxa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Grammar, Punctuation &amp; Spelling</w:t>
            </w:r>
          </w:p>
        </w:tc>
        <w:tc>
          <w:tcPr>
            <w:tcW w:w="1148" w:type="dxa"/>
            <w:shd w:val="clear" w:color="auto" w:fill="D9E2F3" w:themeFill="accent1" w:themeFillTint="33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31.3</w:t>
            </w:r>
          </w:p>
        </w:tc>
        <w:tc>
          <w:tcPr>
            <w:tcW w:w="1229" w:type="dxa"/>
            <w:shd w:val="clear" w:color="auto" w:fill="D9E2F3" w:themeFill="accent1" w:themeFillTint="33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68.8</w:t>
            </w:r>
          </w:p>
        </w:tc>
        <w:tc>
          <w:tcPr>
            <w:tcW w:w="1200" w:type="dxa"/>
            <w:shd w:val="clear" w:color="auto" w:fill="D9E2F3" w:themeFill="accent1" w:themeFillTint="33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21.9</w:t>
            </w:r>
          </w:p>
        </w:tc>
        <w:tc>
          <w:tcPr>
            <w:tcW w:w="1200" w:type="dxa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00" w:type="dxa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200" w:type="dxa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FB317E" w:rsidTr="00FB317E">
        <w:trPr>
          <w:trHeight w:val="603"/>
        </w:trPr>
        <w:tc>
          <w:tcPr>
            <w:tcW w:w="1637" w:type="dxa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Mathematics</w:t>
            </w:r>
          </w:p>
          <w:p w:rsidR="00FB317E" w:rsidRDefault="00FB317E" w:rsidP="00FB317E">
            <w:pPr>
              <w:rPr>
                <w:sz w:val="24"/>
                <w:szCs w:val="24"/>
              </w:rPr>
            </w:pPr>
          </w:p>
          <w:p w:rsidR="00FB317E" w:rsidRDefault="00FB317E" w:rsidP="00FB317E">
            <w:pPr>
              <w:rPr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D9E2F3" w:themeFill="accent1" w:themeFillTint="33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31.3</w:t>
            </w:r>
          </w:p>
        </w:tc>
        <w:tc>
          <w:tcPr>
            <w:tcW w:w="1229" w:type="dxa"/>
            <w:shd w:val="clear" w:color="auto" w:fill="D9E2F3" w:themeFill="accent1" w:themeFillTint="33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68.8</w:t>
            </w:r>
          </w:p>
        </w:tc>
        <w:tc>
          <w:tcPr>
            <w:tcW w:w="1200" w:type="dxa"/>
            <w:shd w:val="clear" w:color="auto" w:fill="D9E2F3" w:themeFill="accent1" w:themeFillTint="33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9.4</w:t>
            </w:r>
          </w:p>
        </w:tc>
        <w:tc>
          <w:tcPr>
            <w:tcW w:w="1200" w:type="dxa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00" w:type="dxa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200" w:type="dxa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FB317E" w:rsidTr="00FB317E">
        <w:trPr>
          <w:trHeight w:val="615"/>
        </w:trPr>
        <w:tc>
          <w:tcPr>
            <w:tcW w:w="1637" w:type="dxa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Reading, writing and Maths combined</w:t>
            </w:r>
          </w:p>
        </w:tc>
        <w:tc>
          <w:tcPr>
            <w:tcW w:w="1148" w:type="dxa"/>
            <w:shd w:val="clear" w:color="auto" w:fill="D9E2F3" w:themeFill="accent1" w:themeFillTint="33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36.5</w:t>
            </w:r>
          </w:p>
        </w:tc>
        <w:tc>
          <w:tcPr>
            <w:tcW w:w="1229" w:type="dxa"/>
            <w:shd w:val="clear" w:color="auto" w:fill="D9E2F3" w:themeFill="accent1" w:themeFillTint="33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62.5</w:t>
            </w:r>
          </w:p>
        </w:tc>
        <w:tc>
          <w:tcPr>
            <w:tcW w:w="1200" w:type="dxa"/>
            <w:shd w:val="clear" w:color="auto" w:fill="D9E2F3" w:themeFill="accent1" w:themeFillTint="33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200" w:type="dxa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200" w:type="dxa"/>
          </w:tcPr>
          <w:p w:rsidR="00FB317E" w:rsidRDefault="00FB317E" w:rsidP="00FB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</w:tbl>
    <w:p w:rsidR="00195FD2" w:rsidRDefault="00195FD2" w:rsidP="00195FD2">
      <w:pPr>
        <w:jc w:val="both"/>
        <w:rPr>
          <w:sz w:val="24"/>
          <w:szCs w:val="24"/>
        </w:rPr>
      </w:pPr>
    </w:p>
    <w:p w:rsidR="000B0B96" w:rsidRDefault="000B0B96" w:rsidP="00195FD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Average Scaled scores for Year 6 </w:t>
      </w:r>
    </w:p>
    <w:p w:rsidR="00FB317E" w:rsidRDefault="00DD70B6" w:rsidP="00DD70B6">
      <w:pPr>
        <w:rPr>
          <w:sz w:val="24"/>
          <w:szCs w:val="24"/>
        </w:rPr>
      </w:pPr>
      <w:r>
        <w:rPr>
          <w:sz w:val="24"/>
          <w:szCs w:val="24"/>
        </w:rPr>
        <w:t>This table shows the average scaled scores for reading and maths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DD70B6" w:rsidTr="00DD70B6">
        <w:tc>
          <w:tcPr>
            <w:tcW w:w="2254" w:type="dxa"/>
          </w:tcPr>
          <w:p w:rsidR="00DD70B6" w:rsidRPr="00DD70B6" w:rsidRDefault="00DD70B6" w:rsidP="00DD70B6">
            <w:pPr>
              <w:rPr>
                <w:b/>
                <w:sz w:val="24"/>
                <w:szCs w:val="24"/>
              </w:rPr>
            </w:pPr>
          </w:p>
        </w:tc>
        <w:tc>
          <w:tcPr>
            <w:tcW w:w="2254" w:type="dxa"/>
          </w:tcPr>
          <w:p w:rsidR="00DD70B6" w:rsidRPr="00DD70B6" w:rsidRDefault="00DD70B6" w:rsidP="00DD70B6">
            <w:pPr>
              <w:rPr>
                <w:b/>
                <w:sz w:val="24"/>
                <w:szCs w:val="24"/>
              </w:rPr>
            </w:pPr>
            <w:r w:rsidRPr="00DD70B6">
              <w:rPr>
                <w:b/>
                <w:sz w:val="24"/>
                <w:szCs w:val="24"/>
              </w:rPr>
              <w:t xml:space="preserve">Reading </w:t>
            </w:r>
          </w:p>
        </w:tc>
        <w:tc>
          <w:tcPr>
            <w:tcW w:w="2254" w:type="dxa"/>
          </w:tcPr>
          <w:p w:rsidR="00DD70B6" w:rsidRPr="00DD70B6" w:rsidRDefault="00DD70B6" w:rsidP="00DD70B6">
            <w:pPr>
              <w:rPr>
                <w:b/>
                <w:sz w:val="24"/>
                <w:szCs w:val="24"/>
              </w:rPr>
            </w:pPr>
            <w:r w:rsidRPr="00DD70B6">
              <w:rPr>
                <w:b/>
                <w:sz w:val="24"/>
                <w:szCs w:val="24"/>
              </w:rPr>
              <w:t>GPS</w:t>
            </w:r>
          </w:p>
        </w:tc>
        <w:tc>
          <w:tcPr>
            <w:tcW w:w="2254" w:type="dxa"/>
          </w:tcPr>
          <w:p w:rsidR="00DD70B6" w:rsidRPr="00DD70B6" w:rsidRDefault="00DD70B6" w:rsidP="00DD70B6">
            <w:pPr>
              <w:rPr>
                <w:b/>
                <w:sz w:val="24"/>
                <w:szCs w:val="24"/>
              </w:rPr>
            </w:pPr>
            <w:r w:rsidRPr="00DD70B6">
              <w:rPr>
                <w:b/>
                <w:sz w:val="24"/>
                <w:szCs w:val="24"/>
              </w:rPr>
              <w:t>Maths</w:t>
            </w:r>
          </w:p>
        </w:tc>
      </w:tr>
      <w:tr w:rsidR="00DD70B6" w:rsidTr="00DD70B6">
        <w:tc>
          <w:tcPr>
            <w:tcW w:w="2254" w:type="dxa"/>
          </w:tcPr>
          <w:p w:rsidR="00DD70B6" w:rsidRPr="00DD70B6" w:rsidRDefault="00DD70B6" w:rsidP="00DD70B6">
            <w:pPr>
              <w:rPr>
                <w:b/>
                <w:sz w:val="24"/>
                <w:szCs w:val="24"/>
              </w:rPr>
            </w:pPr>
            <w:r w:rsidRPr="00DD70B6">
              <w:rPr>
                <w:b/>
                <w:sz w:val="24"/>
                <w:szCs w:val="24"/>
              </w:rPr>
              <w:t>School</w:t>
            </w:r>
          </w:p>
        </w:tc>
        <w:tc>
          <w:tcPr>
            <w:tcW w:w="2254" w:type="dxa"/>
          </w:tcPr>
          <w:p w:rsidR="00DD70B6" w:rsidRDefault="00DD70B6" w:rsidP="00DD70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105.2</w:t>
            </w:r>
          </w:p>
        </w:tc>
        <w:tc>
          <w:tcPr>
            <w:tcW w:w="2254" w:type="dxa"/>
          </w:tcPr>
          <w:p w:rsidR="00DD70B6" w:rsidRDefault="00DD70B6" w:rsidP="00DD70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103.9</w:t>
            </w:r>
          </w:p>
        </w:tc>
        <w:tc>
          <w:tcPr>
            <w:tcW w:w="2254" w:type="dxa"/>
          </w:tcPr>
          <w:p w:rsidR="00DD70B6" w:rsidRDefault="00DD70B6" w:rsidP="00DD70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102.3</w:t>
            </w:r>
          </w:p>
        </w:tc>
      </w:tr>
      <w:tr w:rsidR="00DD70B6" w:rsidTr="00DD70B6">
        <w:tc>
          <w:tcPr>
            <w:tcW w:w="2254" w:type="dxa"/>
          </w:tcPr>
          <w:p w:rsidR="00DD70B6" w:rsidRPr="00DD70B6" w:rsidRDefault="00DD70B6" w:rsidP="00DD70B6">
            <w:pPr>
              <w:rPr>
                <w:b/>
                <w:sz w:val="24"/>
                <w:szCs w:val="24"/>
              </w:rPr>
            </w:pPr>
            <w:r w:rsidRPr="00DD70B6">
              <w:rPr>
                <w:b/>
                <w:sz w:val="24"/>
                <w:szCs w:val="24"/>
              </w:rPr>
              <w:t>National</w:t>
            </w:r>
          </w:p>
        </w:tc>
        <w:tc>
          <w:tcPr>
            <w:tcW w:w="2254" w:type="dxa"/>
          </w:tcPr>
          <w:p w:rsidR="00DD70B6" w:rsidRDefault="00DD70B6" w:rsidP="00DD70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2254" w:type="dxa"/>
          </w:tcPr>
          <w:p w:rsidR="00DD70B6" w:rsidRDefault="00DD70B6" w:rsidP="00DD70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2254" w:type="dxa"/>
          </w:tcPr>
          <w:p w:rsidR="00DD70B6" w:rsidRDefault="00DD70B6" w:rsidP="00DD70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</w:tr>
    </w:tbl>
    <w:p w:rsidR="00DD70B6" w:rsidRPr="00DD70B6" w:rsidRDefault="00DD70B6" w:rsidP="00DD70B6">
      <w:pPr>
        <w:rPr>
          <w:sz w:val="24"/>
          <w:szCs w:val="24"/>
        </w:rPr>
      </w:pPr>
    </w:p>
    <w:p w:rsidR="00195FD2" w:rsidRDefault="00195FD2" w:rsidP="00195FD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Key Stage 1 Phonics Results</w:t>
      </w:r>
    </w:p>
    <w:p w:rsidR="00CB0AB7" w:rsidRDefault="00CB0AB7" w:rsidP="00CB0AB7">
      <w:pPr>
        <w:jc w:val="both"/>
        <w:rPr>
          <w:sz w:val="24"/>
          <w:szCs w:val="24"/>
        </w:rPr>
      </w:pPr>
      <w:r>
        <w:rPr>
          <w:sz w:val="24"/>
          <w:szCs w:val="24"/>
        </w:rPr>
        <w:t>This table shows the percentage of Year 1 children reaching the expected standard at the end of Year 1 in the national phonic</w:t>
      </w:r>
      <w:r w:rsidR="00DD70B6">
        <w:rPr>
          <w:sz w:val="24"/>
          <w:szCs w:val="24"/>
        </w:rPr>
        <w:t>s screening check</w:t>
      </w:r>
      <w:bookmarkStart w:id="0" w:name="_GoBack"/>
      <w:bookmarkEnd w:id="0"/>
    </w:p>
    <w:tbl>
      <w:tblPr>
        <w:tblStyle w:val="TableGrid"/>
        <w:tblpPr w:leftFromText="180" w:rightFromText="180" w:vertAnchor="text" w:horzAnchor="margin" w:tblpY="72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B0AB7" w:rsidTr="00CB0AB7">
        <w:tc>
          <w:tcPr>
            <w:tcW w:w="4508" w:type="dxa"/>
          </w:tcPr>
          <w:p w:rsidR="00CB0AB7" w:rsidRDefault="00CB0AB7" w:rsidP="00CB0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School 2024</w:t>
            </w:r>
          </w:p>
        </w:tc>
        <w:tc>
          <w:tcPr>
            <w:tcW w:w="4508" w:type="dxa"/>
          </w:tcPr>
          <w:p w:rsidR="00CB0AB7" w:rsidRDefault="00CB0AB7" w:rsidP="00CB0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National 2024</w:t>
            </w:r>
          </w:p>
        </w:tc>
      </w:tr>
      <w:tr w:rsidR="00CB0AB7" w:rsidTr="00CB0AB7">
        <w:tc>
          <w:tcPr>
            <w:tcW w:w="4508" w:type="dxa"/>
          </w:tcPr>
          <w:p w:rsidR="00CB0AB7" w:rsidRDefault="009A5834" w:rsidP="00CB0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87%</w:t>
            </w:r>
          </w:p>
        </w:tc>
        <w:tc>
          <w:tcPr>
            <w:tcW w:w="4508" w:type="dxa"/>
          </w:tcPr>
          <w:p w:rsidR="00CB0AB7" w:rsidRDefault="000B0B96" w:rsidP="00CB0A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80%</w:t>
            </w:r>
          </w:p>
        </w:tc>
      </w:tr>
    </w:tbl>
    <w:p w:rsidR="00CB0AB7" w:rsidRPr="00CB0AB7" w:rsidRDefault="00CB0AB7" w:rsidP="00CB0AB7">
      <w:pPr>
        <w:jc w:val="both"/>
        <w:rPr>
          <w:sz w:val="24"/>
          <w:szCs w:val="24"/>
        </w:rPr>
      </w:pPr>
    </w:p>
    <w:sectPr w:rsidR="00CB0AB7" w:rsidRPr="00CB0AB7" w:rsidSect="00195FD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pgBorders w:offsetFrom="page">
        <w:top w:val="single" w:sz="18" w:space="24" w:color="2F5496" w:themeColor="accent1" w:themeShade="BF"/>
        <w:left w:val="single" w:sz="18" w:space="24" w:color="2F5496" w:themeColor="accent1" w:themeShade="BF"/>
        <w:bottom w:val="single" w:sz="18" w:space="24" w:color="2F5496" w:themeColor="accent1" w:themeShade="BF"/>
        <w:right w:val="single" w:sz="18" w:space="24" w:color="2F5496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5FD2" w:rsidRDefault="00195FD2" w:rsidP="00195FD2">
      <w:pPr>
        <w:spacing w:after="0" w:line="240" w:lineRule="auto"/>
      </w:pPr>
      <w:r>
        <w:separator/>
      </w:r>
    </w:p>
  </w:endnote>
  <w:endnote w:type="continuationSeparator" w:id="0">
    <w:p w:rsidR="00195FD2" w:rsidRDefault="00195FD2" w:rsidP="00195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FD2" w:rsidRDefault="00195F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FD2" w:rsidRDefault="00195FD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FD2" w:rsidRDefault="00195F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5FD2" w:rsidRDefault="00195FD2" w:rsidP="00195FD2">
      <w:pPr>
        <w:spacing w:after="0" w:line="240" w:lineRule="auto"/>
      </w:pPr>
      <w:r>
        <w:separator/>
      </w:r>
    </w:p>
  </w:footnote>
  <w:footnote w:type="continuationSeparator" w:id="0">
    <w:p w:rsidR="00195FD2" w:rsidRDefault="00195FD2" w:rsidP="00195F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FD2" w:rsidRDefault="00195FD2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3843704" o:spid="_x0000_s2053" type="#_x0000_t75" style="position:absolute;margin-left:0;margin-top:0;width:450.9pt;height:404.75pt;z-index:-251657216;mso-position-horizontal:center;mso-position-horizontal-relative:margin;mso-position-vertical:center;mso-position-vertical-relative:margin" o:allowincell="f">
          <v:imagedata r:id="rId1" o:title="school logo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FD2" w:rsidRDefault="00195FD2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3843705" o:spid="_x0000_s2054" type="#_x0000_t75" style="position:absolute;margin-left:0;margin-top:0;width:450.9pt;height:404.75pt;z-index:-251656192;mso-position-horizontal:center;mso-position-horizontal-relative:margin;mso-position-vertical:center;mso-position-vertical-relative:margin" o:allowincell="f">
          <v:imagedata r:id="rId1" o:title="school logo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FD2" w:rsidRDefault="00195FD2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3843703" o:spid="_x0000_s2052" type="#_x0000_t75" style="position:absolute;margin-left:0;margin-top:0;width:450.9pt;height:404.75pt;z-index:-251658240;mso-position-horizontal:center;mso-position-horizontal-relative:margin;mso-position-vertical:center;mso-position-vertical-relative:margin" o:allowincell="f">
          <v:imagedata r:id="rId1" o:title="school logo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EB8"/>
    <w:rsid w:val="000B0B96"/>
    <w:rsid w:val="00195FD2"/>
    <w:rsid w:val="00675EB8"/>
    <w:rsid w:val="009A5834"/>
    <w:rsid w:val="00CB0AB7"/>
    <w:rsid w:val="00DD70B6"/>
    <w:rsid w:val="00FB3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3EB8078B"/>
  <w15:chartTrackingRefBased/>
  <w15:docId w15:val="{C1FC92F7-B990-4C15-986B-D207AC0F7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5F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FD2"/>
  </w:style>
  <w:style w:type="paragraph" w:styleId="Footer">
    <w:name w:val="footer"/>
    <w:basedOn w:val="Normal"/>
    <w:link w:val="FooterChar"/>
    <w:uiPriority w:val="99"/>
    <w:unhideWhenUsed/>
    <w:rsid w:val="00195F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FD2"/>
  </w:style>
  <w:style w:type="table" w:styleId="TableGrid">
    <w:name w:val="Table Grid"/>
    <w:basedOn w:val="TableNormal"/>
    <w:uiPriority w:val="39"/>
    <w:rsid w:val="00195F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Eileen Stewart</dc:creator>
  <cp:keywords/>
  <dc:description/>
  <cp:lastModifiedBy>Eileen Stewart</cp:lastModifiedBy>
  <cp:revision>2</cp:revision>
  <dcterms:created xsi:type="dcterms:W3CDTF">2025-06-10T08:21:00Z</dcterms:created>
  <dcterms:modified xsi:type="dcterms:W3CDTF">2025-06-10T08:21:00Z</dcterms:modified>
</cp:coreProperties>
</file>